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proofErr w:type="spellStart"/>
      <w:r>
        <w:rPr>
          <w:rFonts w:ascii="Arial" w:hAnsi="Arial" w:cs="Arial"/>
          <w:sz w:val="22"/>
          <w:szCs w:val="22"/>
        </w:rPr>
        <w:t>QuestCDN</w:t>
      </w:r>
      <w:proofErr w:type="spellEnd"/>
      <w:r>
        <w:rPr>
          <w:rFonts w:ascii="Arial" w:hAnsi="Arial" w:cs="Arial"/>
          <w:sz w:val="22"/>
          <w:szCs w:val="22"/>
        </w:rPr>
        <w:t xml:space="preserve">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The online</w:t>
      </w:r>
      <w:r w:rsidRPr="00160AC8">
        <w:rPr>
          <w:rFonts w:ascii="Arial" w:hAnsi="Arial" w:cs="Arial"/>
          <w:b/>
          <w:bCs/>
          <w:sz w:val="22"/>
          <w:szCs w:val="22"/>
        </w:rPr>
        <w:t xml:space="preserve"> bid must be </w:t>
      </w:r>
      <w:r>
        <w:rPr>
          <w:rFonts w:ascii="Arial" w:hAnsi="Arial" w:cs="Arial"/>
          <w:b/>
          <w:bCs/>
          <w:sz w:val="22"/>
          <w:szCs w:val="22"/>
        </w:rPr>
        <w:t>completed and submitted, all addenda acknowledged and acknowledgement uploaded</w:t>
      </w:r>
      <w:r w:rsidRPr="00160AC8">
        <w:rPr>
          <w:rFonts w:ascii="Arial" w:hAnsi="Arial" w:cs="Arial"/>
          <w:b/>
          <w:bCs/>
          <w:sz w:val="22"/>
          <w:szCs w:val="22"/>
        </w:rPr>
        <w:t xml:space="preserve"> to </w:t>
      </w:r>
      <w:r>
        <w:rPr>
          <w:rFonts w:ascii="Arial" w:hAnsi="Arial" w:cs="Arial"/>
          <w:b/>
          <w:bCs/>
          <w:sz w:val="22"/>
          <w:szCs w:val="22"/>
        </w:rPr>
        <w:t xml:space="preserve">the site, and a copy of the bid bond or copy of cashier’s check or Surety2000 </w:t>
      </w:r>
      <w:r w:rsidR="00DB6824">
        <w:rPr>
          <w:rFonts w:ascii="Arial" w:hAnsi="Arial" w:cs="Arial"/>
          <w:b/>
          <w:bCs/>
          <w:sz w:val="22"/>
          <w:szCs w:val="22"/>
        </w:rPr>
        <w:t>authorization code</w:t>
      </w:r>
      <w:r>
        <w:rPr>
          <w:rFonts w:ascii="Arial" w:hAnsi="Arial" w:cs="Arial"/>
          <w:b/>
          <w:bCs/>
          <w:sz w:val="22"/>
          <w:szCs w:val="22"/>
        </w:rPr>
        <w:t xml:space="preserve"> uploaded to the site.  If a copy of the </w:t>
      </w:r>
      <w:r w:rsidRPr="00160AC8">
        <w:rPr>
          <w:rFonts w:ascii="Arial" w:hAnsi="Arial" w:cs="Arial"/>
          <w:b/>
          <w:bCs/>
          <w:sz w:val="22"/>
          <w:szCs w:val="22"/>
        </w:rPr>
        <w:t xml:space="preserve">bid </w:t>
      </w:r>
      <w:r>
        <w:rPr>
          <w:rFonts w:ascii="Arial" w:hAnsi="Arial" w:cs="Arial"/>
          <w:b/>
          <w:bCs/>
          <w:sz w:val="22"/>
          <w:szCs w:val="22"/>
        </w:rPr>
        <w:t>bond is uploaded, the original must be provided to the</w:t>
      </w:r>
      <w:r w:rsidRPr="00160AC8">
        <w:rPr>
          <w:rFonts w:ascii="Arial" w:hAnsi="Arial" w:cs="Arial"/>
          <w:b/>
          <w:bCs/>
          <w:sz w:val="22"/>
          <w:szCs w:val="22"/>
        </w:rPr>
        <w:t xml:space="preserve"> City </w:t>
      </w:r>
      <w:r>
        <w:rPr>
          <w:rFonts w:ascii="Arial" w:hAnsi="Arial" w:cs="Arial"/>
          <w:b/>
          <w:bCs/>
          <w:sz w:val="22"/>
          <w:szCs w:val="22"/>
        </w:rPr>
        <w:t>after the bid opening but before the close of the second business day following the bid opening.</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roofErr w:type="gramStart"/>
      <w:r w:rsidRPr="00AE30D6">
        <w:rPr>
          <w:rFonts w:ascii="Arial" w:hAnsi="Arial" w:cs="Arial"/>
          <w:sz w:val="22"/>
          <w:szCs w:val="22"/>
        </w:rPr>
        <w:t>IB-2.</w:t>
      </w:r>
      <w:proofErr w:type="gramEnd"/>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BD491B" w:rsidRPr="00AE30D6" w:rsidRDefault="00BD491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“Bid Form” is the form which Bidders are required to use when making their Bid.  Bid Forms will be available on </w:t>
      </w:r>
      <w:proofErr w:type="spellStart"/>
      <w:r>
        <w:rPr>
          <w:rFonts w:ascii="Arial" w:hAnsi="Arial" w:cs="Arial"/>
          <w:sz w:val="22"/>
          <w:szCs w:val="22"/>
        </w:rPr>
        <w:t>QuestCDN</w:t>
      </w:r>
      <w:proofErr w:type="spellEnd"/>
      <w:r>
        <w:rPr>
          <w:rFonts w:ascii="Arial" w:hAnsi="Arial" w:cs="Arial"/>
          <w:sz w:val="22"/>
          <w:szCs w:val="22"/>
        </w:rPr>
        <w:t xml:space="preserve">, and Bidders are required to complete and submit via </w:t>
      </w:r>
      <w:proofErr w:type="spellStart"/>
      <w:r>
        <w:rPr>
          <w:rFonts w:ascii="Arial" w:hAnsi="Arial" w:cs="Arial"/>
          <w:sz w:val="22"/>
          <w:szCs w:val="22"/>
        </w:rPr>
        <w:t>QuestCDN</w:t>
      </w:r>
      <w:proofErr w:type="spellEnd"/>
      <w:r>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rsidP="00321D94">
      <w:pPr>
        <w:widowControl/>
        <w:tabs>
          <w:tab w:val="left" w:pos="-1440"/>
          <w:tab w:val="left" w:pos="-720"/>
        </w:tabs>
        <w:ind w:left="1440" w:hanging="720"/>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has, following such determination and declaration, </w:t>
      </w:r>
      <w:r>
        <w:rPr>
          <w:rFonts w:ascii="Arial" w:hAnsi="Arial" w:cs="Arial"/>
          <w:sz w:val="22"/>
          <w:szCs w:val="22"/>
        </w:rPr>
        <w:lastRenderedPageBreak/>
        <w:t>thereafter executed a Contract for construction (or other services as applicable) with the City to perform the Work described herein.</w:t>
      </w: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Default="00BD491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BD491B" w:rsidRDefault="00BD491B" w:rsidP="00160AC8">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BD491B"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BD491B" w:rsidRPr="00AE30D6" w:rsidRDefault="00BD491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proofErr w:type="spellStart"/>
      <w:r>
        <w:rPr>
          <w:rFonts w:ascii="Arial" w:hAnsi="Arial" w:cs="Arial"/>
          <w:sz w:val="22"/>
          <w:szCs w:val="22"/>
        </w:rPr>
        <w:t>QuestCDN</w:t>
      </w:r>
      <w:proofErr w:type="spellEnd"/>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proofErr w:type="spellStart"/>
      <w:r>
        <w:rPr>
          <w:rFonts w:ascii="Arial" w:hAnsi="Arial" w:cs="Arial"/>
          <w:sz w:val="22"/>
          <w:szCs w:val="22"/>
        </w:rPr>
        <w:t>QuestCDN</w:t>
      </w:r>
      <w:proofErr w:type="spellEnd"/>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Default="00BD491B">
      <w:pPr>
        <w:pStyle w:val="BodyTextIndent3"/>
        <w:rPr>
          <w:rFonts w:ascii="Arial" w:hAnsi="Arial" w:cs="Arial"/>
          <w:sz w:val="22"/>
          <w:szCs w:val="22"/>
        </w:rPr>
      </w:pPr>
      <w:r w:rsidRPr="00AE30D6">
        <w:rPr>
          <w:rFonts w:ascii="Arial" w:hAnsi="Arial" w:cs="Arial"/>
          <w:sz w:val="22"/>
          <w:szCs w:val="22"/>
        </w:rPr>
        <w:lastRenderedPageBreak/>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proofErr w:type="spellStart"/>
      <w:r>
        <w:rPr>
          <w:rFonts w:ascii="Arial" w:hAnsi="Arial" w:cs="Arial"/>
          <w:sz w:val="22"/>
          <w:szCs w:val="22"/>
        </w:rPr>
        <w:t>QuestCDN</w:t>
      </w:r>
      <w:proofErr w:type="spellEnd"/>
      <w:r>
        <w:rPr>
          <w:rFonts w:ascii="Arial" w:hAnsi="Arial" w:cs="Arial"/>
          <w:sz w:val="22"/>
          <w:szCs w:val="22"/>
        </w:rPr>
        <w:t xml:space="preserve">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Default="00BD491B">
      <w:pPr>
        <w:pStyle w:val="BodyTextIndent3"/>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D491B" w:rsidRPr="006870B8" w:rsidRDefault="00BD491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BD491B" w:rsidRPr="00AE30D6" w:rsidRDefault="00BD491B">
      <w:pPr>
        <w:pStyle w:val="BodyTextIndent3"/>
        <w:rPr>
          <w:rFonts w:ascii="Arial" w:hAnsi="Arial" w:cs="Arial"/>
          <w:sz w:val="22"/>
          <w:szCs w:val="22"/>
        </w:rPr>
      </w:pPr>
    </w:p>
    <w:p w:rsidR="00BD491B"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BD491B" w:rsidRDefault="00BD491B" w:rsidP="00160A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City (or its 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w:t>
      </w:r>
      <w:proofErr w:type="spellStart"/>
      <w:r>
        <w:rPr>
          <w:rFonts w:ascii="Arial" w:hAnsi="Arial" w:cs="Arial"/>
          <w:sz w:val="22"/>
          <w:szCs w:val="22"/>
        </w:rPr>
        <w:t>QuestCDN</w:t>
      </w:r>
      <w:proofErr w:type="spellEnd"/>
      <w:r w:rsidRPr="00AE30D6">
        <w:rPr>
          <w:rFonts w:ascii="Arial" w:hAnsi="Arial" w:cs="Arial"/>
          <w:sz w:val="22"/>
          <w:szCs w:val="22"/>
        </w:rPr>
        <w:t xml:space="preserve"> to all 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could result in rejection of Bid.</w:t>
      </w: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D491B" w:rsidRPr="00AE30D6"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BD491B" w:rsidRPr="00AE30D6" w:rsidRDefault="00BD491B">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BD491B" w:rsidRPr="00AE30D6" w:rsidRDefault="00BD491B">
      <w:pPr>
        <w:ind w:left="2160"/>
        <w:jc w:val="both"/>
        <w:rPr>
          <w:rFonts w:ascii="Arial" w:hAnsi="Arial" w:cs="Arial"/>
          <w:sz w:val="22"/>
          <w:szCs w:val="22"/>
        </w:rPr>
      </w:pPr>
    </w:p>
    <w:p w:rsidR="00BD491B" w:rsidRPr="00AE30D6" w:rsidRDefault="00BD491B">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BD491B" w:rsidRPr="00AE30D6" w:rsidRDefault="00BD491B">
      <w:pPr>
        <w:jc w:val="both"/>
        <w:rPr>
          <w:rFonts w:ascii="Arial" w:hAnsi="Arial" w:cs="Arial"/>
          <w:sz w:val="22"/>
          <w:szCs w:val="22"/>
        </w:rPr>
      </w:pPr>
    </w:p>
    <w:p w:rsidR="00BD491B" w:rsidRPr="00AE30D6" w:rsidRDefault="00BD491B">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BD491B" w:rsidRPr="00AE30D6" w:rsidRDefault="00BD491B">
      <w:pPr>
        <w:ind w:left="1440"/>
        <w:jc w:val="both"/>
        <w:rPr>
          <w:rFonts w:ascii="Arial" w:hAnsi="Arial" w:cs="Arial"/>
          <w:sz w:val="22"/>
          <w:szCs w:val="22"/>
        </w:rPr>
      </w:pPr>
    </w:p>
    <w:p w:rsidR="00BD491B" w:rsidRPr="00AE30D6" w:rsidRDefault="00BD491B">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BD491B" w:rsidRPr="00160AC8" w:rsidRDefault="00BD491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D491B" w:rsidRPr="00AE30D6" w:rsidRDefault="00BD491B">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BD491B" w:rsidRPr="00AE30D6" w:rsidRDefault="00BD491B">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BD491B" w:rsidRPr="00BE299C">
        <w:trPr>
          <w:trHeight w:val="261"/>
        </w:trPr>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BD491B" w:rsidRPr="00BE299C" w:rsidRDefault="00BD491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1</w:t>
            </w:r>
            <w:r w:rsidRPr="00BE299C">
              <w:rPr>
                <w:rFonts w:ascii="Arial" w:hAnsi="Arial" w:cs="Arial"/>
                <w:sz w:val="22"/>
                <w:szCs w:val="22"/>
              </w:rPr>
              <w:t>,000,000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BD491B" w:rsidRPr="00BE299C" w:rsidRDefault="00BD491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1</w:t>
            </w:r>
            <w:r w:rsidRPr="00BE299C">
              <w:rPr>
                <w:rFonts w:ascii="Arial" w:hAnsi="Arial" w:cs="Arial"/>
                <w:sz w:val="22"/>
                <w:szCs w:val="22"/>
              </w:rPr>
              <w:t>,000,000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BD491B" w:rsidRPr="00BE299C" w:rsidRDefault="00BD491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sidR="00DB6824">
              <w:rPr>
                <w:rFonts w:ascii="Arial" w:hAnsi="Arial" w:cs="Arial"/>
                <w:sz w:val="22"/>
                <w:szCs w:val="22"/>
              </w:rPr>
              <w:t xml:space="preserve">   </w:t>
            </w:r>
            <w:r w:rsidRPr="00251456">
              <w:rPr>
                <w:rFonts w:ascii="Arial" w:hAnsi="Arial" w:cs="Arial"/>
                <w:sz w:val="22"/>
                <w:szCs w:val="22"/>
              </w:rPr>
              <w:t>500</w:t>
            </w:r>
            <w:r w:rsidRPr="00BE299C">
              <w:rPr>
                <w:rFonts w:ascii="Arial" w:hAnsi="Arial" w:cs="Arial"/>
                <w:sz w:val="22"/>
                <w:szCs w:val="22"/>
              </w:rPr>
              <w:t>,000</w:t>
            </w:r>
          </w:p>
        </w:tc>
      </w:tr>
      <w:tr w:rsidR="00BD491B" w:rsidRPr="00BE299C">
        <w:tc>
          <w:tcPr>
            <w:tcW w:w="4770" w:type="dxa"/>
          </w:tcPr>
          <w:p w:rsidR="00BD491B" w:rsidRPr="00BE299C" w:rsidRDefault="00BD491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BD491B" w:rsidRPr="00BE299C" w:rsidRDefault="00BD491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sidR="00DB6824">
              <w:rPr>
                <w:rFonts w:ascii="Arial" w:hAnsi="Arial" w:cs="Arial"/>
                <w:sz w:val="22"/>
                <w:szCs w:val="22"/>
              </w:rPr>
              <w:t xml:space="preserve">   </w:t>
            </w:r>
            <w:r w:rsidRPr="00251456">
              <w:rPr>
                <w:rFonts w:ascii="Arial" w:hAnsi="Arial" w:cs="Arial"/>
                <w:sz w:val="22"/>
                <w:szCs w:val="22"/>
              </w:rPr>
              <w:t>500</w:t>
            </w:r>
            <w:r w:rsidRPr="00BE299C">
              <w:rPr>
                <w:rFonts w:ascii="Arial" w:hAnsi="Arial" w:cs="Arial"/>
                <w:sz w:val="22"/>
                <w:szCs w:val="22"/>
              </w:rPr>
              <w:t>,000</w:t>
            </w:r>
          </w:p>
        </w:tc>
      </w:tr>
    </w:tbl>
    <w:p w:rsidR="00BD491B" w:rsidRDefault="00BD491B">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BD491B" w:rsidRPr="00AE30D6" w:rsidRDefault="00BD491B">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BD491B" w:rsidRDefault="00BD491B">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BD491B" w:rsidRPr="00B637D3" w:rsidRDefault="00BD491B">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BD491B" w:rsidRDefault="00BD491B">
      <w:pPr>
        <w:widowControl/>
        <w:tabs>
          <w:tab w:val="left" w:pos="-1440"/>
          <w:tab w:val="left" w:pos="-720"/>
        </w:tabs>
        <w:ind w:left="1440" w:hanging="720"/>
        <w:jc w:val="both"/>
        <w:rPr>
          <w:rFonts w:ascii="Arial" w:hAnsi="Arial" w:cs="Arial"/>
          <w:sz w:val="22"/>
          <w:szCs w:val="22"/>
        </w:rPr>
      </w:pPr>
    </w:p>
    <w:p w:rsidR="00BD491B" w:rsidRPr="00AE30D6" w:rsidRDefault="00BD491B">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BD491B" w:rsidRPr="00AE30D6" w:rsidRDefault="00BD491B">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Del="00EF39EE" w:rsidRDefault="00BD491B"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BD491B" w:rsidRDefault="00BD491B" w:rsidP="00160AC8">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w:t>
      </w:r>
      <w:r>
        <w:rPr>
          <w:rFonts w:ascii="Arial" w:hAnsi="Arial" w:cs="Arial"/>
          <w:sz w:val="22"/>
          <w:szCs w:val="22"/>
        </w:rPr>
        <w:t>$500,000</w:t>
      </w:r>
      <w:r w:rsidRPr="00AE30D6">
        <w:rPr>
          <w:rFonts w:ascii="Arial" w:hAnsi="Arial" w:cs="Arial"/>
          <w:sz w:val="22"/>
          <w:szCs w:val="22"/>
        </w:rPr>
        <w:t xml:space="preserve"> Each Accident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Pr="00AE30D6" w:rsidRDefault="00BD491B">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BD491B"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rsidP="00463CFA">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BD491B" w:rsidRPr="00AE30D6" w:rsidRDefault="00BD491B">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BD491B" w:rsidRPr="00AE30D6" w:rsidRDefault="00BD491B">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BD491B" w:rsidRPr="00AE30D6" w:rsidRDefault="00BD491B">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BD491B" w:rsidRPr="00AE30D6" w:rsidRDefault="00BD491B">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BD491B"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BD491B"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BD491B" w:rsidRPr="00AE30D6" w:rsidRDefault="00BD491B"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BD491B" w:rsidRPr="00AE30D6" w:rsidRDefault="00BD491B"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BD491B" w:rsidRPr="00AE30D6" w:rsidRDefault="00BD491B"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BD491B" w:rsidRPr="00AE30D6" w:rsidRDefault="00BD491B"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BD491B" w:rsidRPr="00AE30D6" w:rsidRDefault="00BD491B">
      <w:pPr>
        <w:pStyle w:val="BodyTextIndent2"/>
        <w:tabs>
          <w:tab w:val="clear" w:pos="-720"/>
          <w:tab w:val="clear" w:pos="8640"/>
          <w:tab w:val="left" w:pos="90"/>
        </w:tabs>
        <w:ind w:left="0" w:firstLine="0"/>
        <w:rPr>
          <w:rFonts w:ascii="Arial" w:hAnsi="Arial" w:cs="Arial"/>
          <w:sz w:val="22"/>
          <w:szCs w:val="22"/>
        </w:rPr>
      </w:pPr>
    </w:p>
    <w:p w:rsidR="00BD491B" w:rsidRPr="00AE30D6" w:rsidRDefault="00BD491B">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BD491B" w:rsidRDefault="00BD491B">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BD491B" w:rsidRDefault="00BD491B" w:rsidP="00160AC8">
      <w:pPr>
        <w:pStyle w:val="BodyTextIndent2"/>
        <w:tabs>
          <w:tab w:val="clear" w:pos="-720"/>
          <w:tab w:val="clear" w:pos="0"/>
          <w:tab w:val="clear" w:pos="8640"/>
          <w:tab w:val="left" w:pos="90"/>
          <w:tab w:val="left" w:pos="630"/>
        </w:tabs>
        <w:ind w:left="1440" w:firstLine="0"/>
        <w:rPr>
          <w:rFonts w:ascii="Arial" w:hAnsi="Arial" w:cs="Arial"/>
          <w:sz w:val="22"/>
          <w:szCs w:val="22"/>
        </w:rPr>
      </w:pPr>
    </w:p>
    <w:p w:rsidR="00BD491B" w:rsidRDefault="00BD491B"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Default="00BD491B"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BD491B" w:rsidRPr="00AE30D6" w:rsidRDefault="00BD491B">
      <w:pPr>
        <w:tabs>
          <w:tab w:val="left" w:pos="0"/>
          <w:tab w:val="left" w:pos="90"/>
          <w:tab w:val="left" w:pos="9360"/>
        </w:tabs>
        <w:ind w:firstLine="720"/>
        <w:jc w:val="both"/>
        <w:rPr>
          <w:rFonts w:ascii="Arial" w:hAnsi="Arial" w:cs="Arial"/>
          <w:sz w:val="22"/>
          <w:szCs w:val="22"/>
        </w:rPr>
      </w:pPr>
    </w:p>
    <w:p w:rsidR="00BD491B" w:rsidRPr="00AE30D6" w:rsidRDefault="00BD491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BD491B" w:rsidRPr="00AE30D6" w:rsidRDefault="00BD491B">
      <w:pPr>
        <w:pStyle w:val="BodyTextIndent2"/>
        <w:tabs>
          <w:tab w:val="clear" w:pos="-720"/>
          <w:tab w:val="clear" w:pos="8640"/>
          <w:tab w:val="left" w:pos="90"/>
        </w:tabs>
        <w:ind w:left="0" w:firstLine="0"/>
        <w:rPr>
          <w:rFonts w:ascii="Arial" w:hAnsi="Arial" w:cs="Arial"/>
          <w:sz w:val="22"/>
          <w:szCs w:val="22"/>
        </w:rPr>
      </w:pPr>
    </w:p>
    <w:p w:rsidR="00BD491B" w:rsidRPr="00AE30D6" w:rsidRDefault="00BD491B" w:rsidP="00F52F3C">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F52F3C">
        <w:rPr>
          <w:rFonts w:ascii="Arial" w:hAnsi="Arial" w:cs="Arial"/>
          <w:sz w:val="22"/>
          <w:szCs w:val="22"/>
        </w:rPr>
        <w:t xml:space="preserve">  </w:t>
      </w:r>
      <w:r w:rsidRPr="00AE30D6">
        <w:rPr>
          <w:rFonts w:ascii="Arial" w:hAnsi="Arial" w:cs="Arial"/>
          <w:sz w:val="22"/>
          <w:szCs w:val="22"/>
        </w:rPr>
        <w:t>$1,000,000 Each Occurrence</w:t>
      </w:r>
    </w:p>
    <w:p w:rsidR="00BD491B" w:rsidRPr="00AE30D6" w:rsidRDefault="00BD491B">
      <w:pPr>
        <w:tabs>
          <w:tab w:val="left" w:pos="0"/>
          <w:tab w:val="left" w:pos="90"/>
          <w:tab w:val="left" w:pos="9360"/>
        </w:tabs>
        <w:jc w:val="both"/>
        <w:rPr>
          <w:rFonts w:ascii="Arial" w:hAnsi="Arial" w:cs="Arial"/>
          <w:sz w:val="22"/>
          <w:szCs w:val="22"/>
        </w:rPr>
      </w:pPr>
    </w:p>
    <w:p w:rsidR="00BD491B" w:rsidRPr="00AE30D6" w:rsidRDefault="00BD491B">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BD491B" w:rsidRPr="00AE30D6" w:rsidRDefault="00BD491B">
      <w:pPr>
        <w:tabs>
          <w:tab w:val="left" w:pos="0"/>
          <w:tab w:val="left" w:pos="90"/>
          <w:tab w:val="left" w:pos="9360"/>
        </w:tabs>
        <w:jc w:val="both"/>
        <w:rPr>
          <w:rFonts w:ascii="Arial" w:hAnsi="Arial" w:cs="Arial"/>
          <w:sz w:val="22"/>
          <w:szCs w:val="22"/>
        </w:rPr>
      </w:pPr>
    </w:p>
    <w:p w:rsidR="00BD491B" w:rsidRDefault="00BD491B">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BD491B" w:rsidRDefault="00BD491B">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BD491B" w:rsidRPr="00321D94" w:rsidRDefault="00BD491B" w:rsidP="00321D94">
      <w:pPr>
        <w:tabs>
          <w:tab w:val="left" w:pos="90"/>
          <w:tab w:val="left" w:pos="9360"/>
        </w:tabs>
        <w:ind w:left="1440"/>
        <w:jc w:val="both"/>
        <w:rPr>
          <w:rFonts w:ascii="Arial" w:hAnsi="Arial" w:cs="Arial"/>
          <w:b/>
          <w:bCs/>
          <w:sz w:val="22"/>
          <w:szCs w:val="22"/>
        </w:rPr>
      </w:pPr>
    </w:p>
    <w:p w:rsidR="00BD491B" w:rsidRPr="00E26823" w:rsidRDefault="00BD491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Pr="00E26823">
        <w:rPr>
          <w:rFonts w:ascii="Arial" w:hAnsi="Arial" w:cs="Arial"/>
          <w:sz w:val="22"/>
          <w:szCs w:val="22"/>
        </w:rPr>
        <w:tab/>
      </w:r>
      <w:r w:rsidRPr="00160AC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BD491B" w:rsidRPr="00E26823" w:rsidRDefault="00BD491B" w:rsidP="00B03D74">
      <w:pPr>
        <w:tabs>
          <w:tab w:val="left" w:pos="1080"/>
        </w:tabs>
        <w:spacing w:line="240" w:lineRule="exact"/>
        <w:ind w:left="1080"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BD491B" w:rsidRPr="00E26823" w:rsidRDefault="00BD491B" w:rsidP="00B03D74">
      <w:pPr>
        <w:tabs>
          <w:tab w:val="left" w:pos="1080"/>
        </w:tabs>
        <w:spacing w:line="240" w:lineRule="exact"/>
        <w:ind w:left="1080" w:right="-126"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BD491B" w:rsidRPr="00E26823" w:rsidRDefault="00BD491B" w:rsidP="00B03D74">
      <w:pPr>
        <w:tabs>
          <w:tab w:val="left" w:pos="1080"/>
        </w:tabs>
        <w:spacing w:line="240" w:lineRule="exact"/>
        <w:ind w:left="1080" w:hanging="1080"/>
        <w:jc w:val="both"/>
        <w:rPr>
          <w:rFonts w:ascii="Arial" w:hAnsi="Arial" w:cs="Arial"/>
          <w:sz w:val="22"/>
          <w:szCs w:val="22"/>
        </w:rPr>
      </w:pPr>
    </w:p>
    <w:p w:rsidR="00BD491B" w:rsidRPr="00E26823" w:rsidRDefault="00BD491B"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BD491B" w:rsidRPr="00E26823" w:rsidRDefault="00BD491B" w:rsidP="00B03D74">
      <w:pPr>
        <w:spacing w:line="240" w:lineRule="exact"/>
        <w:ind w:left="2160" w:hanging="720"/>
        <w:jc w:val="both"/>
        <w:rPr>
          <w:rFonts w:ascii="Arial" w:hAnsi="Arial" w:cs="Arial"/>
          <w:sz w:val="22"/>
          <w:szCs w:val="22"/>
        </w:rPr>
      </w:pPr>
    </w:p>
    <w:p w:rsidR="00BD491B" w:rsidRPr="00E26823" w:rsidRDefault="00BD491B"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or a </w:t>
      </w:r>
      <w:r>
        <w:rPr>
          <w:rFonts w:ascii="Arial" w:hAnsi="Arial" w:cs="Arial"/>
          <w:sz w:val="22"/>
          <w:szCs w:val="22"/>
        </w:rPr>
        <w:t xml:space="preserve">pdf copy of a </w:t>
      </w:r>
      <w:r w:rsidRPr="00AE30D6">
        <w:rPr>
          <w:rFonts w:ascii="Arial" w:hAnsi="Arial" w:cs="Arial"/>
          <w:sz w:val="22"/>
          <w:szCs w:val="22"/>
        </w:rPr>
        <w:t xml:space="preserve">certified cashier's check </w:t>
      </w:r>
      <w:r>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or, the Bidder may choose to provide a bid bond </w:t>
      </w:r>
      <w:r w:rsidR="00094DB3">
        <w:rPr>
          <w:rFonts w:ascii="Arial" w:hAnsi="Arial" w:cs="Arial"/>
          <w:sz w:val="22"/>
          <w:szCs w:val="22"/>
        </w:rPr>
        <w:t>authorization code</w:t>
      </w:r>
      <w:bookmarkStart w:id="0" w:name="_GoBack"/>
      <w:bookmarkEnd w:id="0"/>
      <w:r>
        <w:rPr>
          <w:rFonts w:ascii="Arial" w:hAnsi="Arial" w:cs="Arial"/>
          <w:sz w:val="22"/>
          <w:szCs w:val="22"/>
        </w:rPr>
        <w:t xml:space="preserve"> provided to them by Surety2000, which the Bidder shall keep in effect until the City gives written notice that it may be released.  If the Bidder provides a pdf copy of a bid bond or a pdf copy of a certified cashier’s check, the original must be provided to the City after the bid opening and by the end of business of the second business day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protecting its legal rights to enforcement of its rights under the bid security.  Deposits will be returned </w:t>
      </w:r>
      <w:r>
        <w:rPr>
          <w:rFonts w:ascii="Arial" w:hAnsi="Arial" w:cs="Arial"/>
          <w:sz w:val="22"/>
          <w:szCs w:val="22"/>
        </w:rPr>
        <w:t xml:space="preserve">or written notice of release will be given </w:t>
      </w:r>
      <w:r w:rsidRPr="00AE30D6">
        <w:rPr>
          <w:rFonts w:ascii="Arial" w:hAnsi="Arial" w:cs="Arial"/>
          <w:sz w:val="22"/>
          <w:szCs w:val="22"/>
        </w:rPr>
        <w:t xml:space="preserve">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t>
      </w:r>
      <w:r>
        <w:rPr>
          <w:rFonts w:ascii="Arial" w:hAnsi="Arial" w:cs="Arial"/>
          <w:sz w:val="22"/>
          <w:szCs w:val="22"/>
        </w:rPr>
        <w:t xml:space="preserve">or written notice of release given </w:t>
      </w:r>
      <w:r w:rsidRPr="00AE30D6">
        <w:rPr>
          <w:rFonts w:ascii="Arial" w:hAnsi="Arial" w:cs="Arial"/>
          <w:sz w:val="22"/>
          <w:szCs w:val="22"/>
        </w:rPr>
        <w:t xml:space="preserve">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BD491B"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BD491B" w:rsidRPr="00AE30D6" w:rsidRDefault="00BD491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BD491B"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w:t>
      </w:r>
      <w:r w:rsidRPr="00AE30D6">
        <w:rPr>
          <w:rFonts w:ascii="Arial" w:hAnsi="Arial" w:cs="Arial"/>
          <w:sz w:val="22"/>
          <w:szCs w:val="22"/>
        </w:rPr>
        <w:lastRenderedPageBreak/>
        <w:t xml:space="preserve">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4251AC" w:rsidRDefault="00BD491B">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BD491B" w:rsidRDefault="00BD491B" w:rsidP="00E918D5">
      <w:pPr>
        <w:pStyle w:val="BodyTextIndent3"/>
        <w:tabs>
          <w:tab w:val="clear" w:pos="-720"/>
          <w:tab w:val="clear" w:pos="8640"/>
          <w:tab w:val="left" w:pos="90"/>
        </w:tabs>
        <w:rPr>
          <w:rFonts w:ascii="Arial" w:hAnsi="Arial" w:cs="Arial"/>
          <w:sz w:val="22"/>
          <w:szCs w:val="22"/>
        </w:rPr>
      </w:pPr>
    </w:p>
    <w:p w:rsidR="00BD491B" w:rsidRDefault="00BD491B" w:rsidP="00E918D5">
      <w:pPr>
        <w:pStyle w:val="BodyTextIndent3"/>
        <w:tabs>
          <w:tab w:val="clear" w:pos="-720"/>
          <w:tab w:val="clear" w:pos="0"/>
          <w:tab w:val="clear" w:pos="8640"/>
          <w:tab w:val="left" w:pos="90"/>
        </w:tabs>
        <w:ind w:hanging="720"/>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w:t>
      </w:r>
      <w:proofErr w:type="spellStart"/>
      <w:r>
        <w:rPr>
          <w:rFonts w:ascii="Arial" w:hAnsi="Arial" w:cs="Arial"/>
          <w:sz w:val="22"/>
          <w:szCs w:val="22"/>
        </w:rPr>
        <w:t>QuestCDN</w:t>
      </w:r>
      <w:proofErr w:type="spellEnd"/>
      <w:r>
        <w:rPr>
          <w:rFonts w:ascii="Arial" w:hAnsi="Arial" w:cs="Arial"/>
          <w:sz w:val="22"/>
          <w:szCs w:val="22"/>
        </w:rPr>
        <w:t xml:space="preserve">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w:t>
      </w:r>
      <w:r w:rsidRPr="00AE30D6">
        <w:rPr>
          <w:rFonts w:ascii="Arial" w:hAnsi="Arial" w:cs="Arial"/>
          <w:sz w:val="22"/>
          <w:szCs w:val="22"/>
        </w:rPr>
        <w:lastRenderedPageBreak/>
        <w:t xml:space="preserve">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BD491B" w:rsidRPr="00AE30D6" w:rsidRDefault="00BD491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BD491B" w:rsidRPr="00AE30D6" w:rsidRDefault="00BD491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D491B" w:rsidRPr="00AE30D6" w:rsidRDefault="00BD491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BD491B" w:rsidRPr="00AE30D6" w:rsidSect="00611E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1B" w:rsidRDefault="00BD491B">
      <w:r>
        <w:separator/>
      </w:r>
    </w:p>
  </w:endnote>
  <w:endnote w:type="continuationSeparator" w:id="0">
    <w:p w:rsidR="00BD491B" w:rsidRDefault="00BD491B">
      <w:r>
        <w:continuationSeparator/>
      </w:r>
    </w:p>
  </w:endnote>
  <w:endnote w:type="continuationNotice" w:id="1">
    <w:p w:rsidR="00BD491B" w:rsidRDefault="00BD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1B" w:rsidRDefault="00BD491B">
    <w:pPr>
      <w:tabs>
        <w:tab w:val="center" w:pos="4680"/>
        <w:tab w:val="right" w:pos="9360"/>
      </w:tabs>
      <w:jc w:val="both"/>
      <w:rPr>
        <w:rFonts w:ascii="Arial" w:hAnsi="Arial" w:cs="Arial"/>
      </w:rPr>
    </w:pPr>
  </w:p>
  <w:p w:rsidR="00BD491B" w:rsidRPr="00F04108" w:rsidRDefault="00BD491B">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-11a-4</w:t>
    </w:r>
    <w:r w:rsidR="00160AC8">
      <w:rPr>
        <w:rFonts w:ascii="Arial" w:hAnsi="Arial" w:cs="Arial"/>
        <w:sz w:val="20"/>
        <w:szCs w:val="20"/>
      </w:rPr>
      <w:t>A</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094DB3">
      <w:rPr>
        <w:rStyle w:val="PageNumber"/>
        <w:rFonts w:ascii="Arial" w:hAnsi="Arial" w:cs="Arial"/>
        <w:noProof/>
        <w:sz w:val="20"/>
        <w:szCs w:val="20"/>
      </w:rPr>
      <w:t>7</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160AC8">
      <w:rPr>
        <w:rFonts w:ascii="Arial" w:hAnsi="Arial" w:cs="Arial"/>
        <w:sz w:val="20"/>
        <w:szCs w:val="20"/>
      </w:rPr>
      <w:t>3/13</w:t>
    </w:r>
    <w:r>
      <w:rPr>
        <w:rFonts w:ascii="Arial" w:hAnsi="Arial" w:cs="Arial"/>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1B" w:rsidRDefault="00BD491B">
      <w:r>
        <w:separator/>
      </w:r>
    </w:p>
  </w:footnote>
  <w:footnote w:type="continuationSeparator" w:id="0">
    <w:p w:rsidR="00BD491B" w:rsidRDefault="00BD491B">
      <w:r>
        <w:continuationSeparator/>
      </w:r>
    </w:p>
  </w:footnote>
  <w:footnote w:type="continuationNotice" w:id="1">
    <w:p w:rsidR="00BD491B" w:rsidRDefault="00BD49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CC50F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6">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7">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9">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
  </w:num>
  <w:num w:numId="4">
    <w:abstractNumId w:val="5"/>
  </w:num>
  <w:num w:numId="5">
    <w:abstractNumId w:val="4"/>
  </w:num>
  <w:num w:numId="6">
    <w:abstractNumId w:val="7"/>
  </w:num>
  <w:num w:numId="7">
    <w:abstractNumId w:val="9"/>
  </w:num>
  <w:num w:numId="8">
    <w:abstractNumId w:val="2"/>
  </w:num>
  <w:num w:numId="9">
    <w:abstractNumId w:val="0"/>
  </w:num>
  <w:num w:numId="10">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1">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23049"/>
    <w:rsid w:val="0005185B"/>
    <w:rsid w:val="00070A72"/>
    <w:rsid w:val="000777C9"/>
    <w:rsid w:val="0009002C"/>
    <w:rsid w:val="00094DB3"/>
    <w:rsid w:val="000A7E6A"/>
    <w:rsid w:val="000C4573"/>
    <w:rsid w:val="000D51A8"/>
    <w:rsid w:val="0012306E"/>
    <w:rsid w:val="00135325"/>
    <w:rsid w:val="00147B93"/>
    <w:rsid w:val="00156730"/>
    <w:rsid w:val="00160AC8"/>
    <w:rsid w:val="001708B7"/>
    <w:rsid w:val="001768E3"/>
    <w:rsid w:val="00187D5E"/>
    <w:rsid w:val="001B0AB6"/>
    <w:rsid w:val="001B55E4"/>
    <w:rsid w:val="001E670B"/>
    <w:rsid w:val="0020236E"/>
    <w:rsid w:val="00224383"/>
    <w:rsid w:val="002248E6"/>
    <w:rsid w:val="00244B1C"/>
    <w:rsid w:val="00251456"/>
    <w:rsid w:val="00282934"/>
    <w:rsid w:val="00297D45"/>
    <w:rsid w:val="002C10B5"/>
    <w:rsid w:val="0032083B"/>
    <w:rsid w:val="00321D94"/>
    <w:rsid w:val="00323953"/>
    <w:rsid w:val="0034195E"/>
    <w:rsid w:val="00345BD7"/>
    <w:rsid w:val="00366B8D"/>
    <w:rsid w:val="00381983"/>
    <w:rsid w:val="003900D8"/>
    <w:rsid w:val="003B2928"/>
    <w:rsid w:val="003C4DFF"/>
    <w:rsid w:val="003E34B0"/>
    <w:rsid w:val="003F2FFE"/>
    <w:rsid w:val="003F7682"/>
    <w:rsid w:val="004251AC"/>
    <w:rsid w:val="0044043E"/>
    <w:rsid w:val="004543A2"/>
    <w:rsid w:val="004544AE"/>
    <w:rsid w:val="00463CFA"/>
    <w:rsid w:val="00487CBB"/>
    <w:rsid w:val="004C0A52"/>
    <w:rsid w:val="00551DA6"/>
    <w:rsid w:val="00552789"/>
    <w:rsid w:val="0056185C"/>
    <w:rsid w:val="005A6360"/>
    <w:rsid w:val="005C0D79"/>
    <w:rsid w:val="005C57F8"/>
    <w:rsid w:val="005D58C1"/>
    <w:rsid w:val="005E020F"/>
    <w:rsid w:val="005F6671"/>
    <w:rsid w:val="006006DC"/>
    <w:rsid w:val="00611E65"/>
    <w:rsid w:val="0061221D"/>
    <w:rsid w:val="00615B89"/>
    <w:rsid w:val="00630173"/>
    <w:rsid w:val="00631431"/>
    <w:rsid w:val="00632481"/>
    <w:rsid w:val="00645BD4"/>
    <w:rsid w:val="00650D56"/>
    <w:rsid w:val="006521B6"/>
    <w:rsid w:val="0065665B"/>
    <w:rsid w:val="00664493"/>
    <w:rsid w:val="006870B8"/>
    <w:rsid w:val="00692A9C"/>
    <w:rsid w:val="006B4977"/>
    <w:rsid w:val="006F38D8"/>
    <w:rsid w:val="007168CE"/>
    <w:rsid w:val="00737AE6"/>
    <w:rsid w:val="00741881"/>
    <w:rsid w:val="00752B01"/>
    <w:rsid w:val="00767696"/>
    <w:rsid w:val="00767BDC"/>
    <w:rsid w:val="007D603C"/>
    <w:rsid w:val="007E30FB"/>
    <w:rsid w:val="00814D82"/>
    <w:rsid w:val="00824C80"/>
    <w:rsid w:val="00834203"/>
    <w:rsid w:val="008458EA"/>
    <w:rsid w:val="0089307A"/>
    <w:rsid w:val="0089325F"/>
    <w:rsid w:val="008B7CD4"/>
    <w:rsid w:val="008C74DC"/>
    <w:rsid w:val="008E493E"/>
    <w:rsid w:val="008E58B2"/>
    <w:rsid w:val="009242D1"/>
    <w:rsid w:val="009260EB"/>
    <w:rsid w:val="00926608"/>
    <w:rsid w:val="00936844"/>
    <w:rsid w:val="00950A22"/>
    <w:rsid w:val="00965B5B"/>
    <w:rsid w:val="00996DF8"/>
    <w:rsid w:val="009E34E7"/>
    <w:rsid w:val="00A56372"/>
    <w:rsid w:val="00A6090B"/>
    <w:rsid w:val="00A93166"/>
    <w:rsid w:val="00A9578D"/>
    <w:rsid w:val="00AE051B"/>
    <w:rsid w:val="00AE30D6"/>
    <w:rsid w:val="00AF32B2"/>
    <w:rsid w:val="00AF677B"/>
    <w:rsid w:val="00B03D74"/>
    <w:rsid w:val="00B637D3"/>
    <w:rsid w:val="00B662C9"/>
    <w:rsid w:val="00B708AA"/>
    <w:rsid w:val="00BA3FC8"/>
    <w:rsid w:val="00BB4131"/>
    <w:rsid w:val="00BD491B"/>
    <w:rsid w:val="00BE011B"/>
    <w:rsid w:val="00BE299C"/>
    <w:rsid w:val="00BF09F3"/>
    <w:rsid w:val="00C320B3"/>
    <w:rsid w:val="00C74487"/>
    <w:rsid w:val="00CC363E"/>
    <w:rsid w:val="00CD1EA8"/>
    <w:rsid w:val="00CD5B8B"/>
    <w:rsid w:val="00CE13D7"/>
    <w:rsid w:val="00D014CB"/>
    <w:rsid w:val="00D06F9C"/>
    <w:rsid w:val="00D244B3"/>
    <w:rsid w:val="00D37A17"/>
    <w:rsid w:val="00D54981"/>
    <w:rsid w:val="00DB6824"/>
    <w:rsid w:val="00DC5133"/>
    <w:rsid w:val="00DD35B3"/>
    <w:rsid w:val="00DE2C46"/>
    <w:rsid w:val="00DF5D1A"/>
    <w:rsid w:val="00E03B91"/>
    <w:rsid w:val="00E26823"/>
    <w:rsid w:val="00E30299"/>
    <w:rsid w:val="00E42A6B"/>
    <w:rsid w:val="00E430B5"/>
    <w:rsid w:val="00E4702A"/>
    <w:rsid w:val="00E62EA4"/>
    <w:rsid w:val="00E62ED5"/>
    <w:rsid w:val="00E64774"/>
    <w:rsid w:val="00E66246"/>
    <w:rsid w:val="00E918D5"/>
    <w:rsid w:val="00EA0D96"/>
    <w:rsid w:val="00EA447D"/>
    <w:rsid w:val="00EC0A07"/>
    <w:rsid w:val="00EC2167"/>
    <w:rsid w:val="00EC724B"/>
    <w:rsid w:val="00ED3F2C"/>
    <w:rsid w:val="00ED7915"/>
    <w:rsid w:val="00EE0827"/>
    <w:rsid w:val="00EF39EE"/>
    <w:rsid w:val="00EF4485"/>
    <w:rsid w:val="00F04108"/>
    <w:rsid w:val="00F52F3C"/>
    <w:rsid w:val="00F718B5"/>
    <w:rsid w:val="00F963E9"/>
    <w:rsid w:val="00FA5107"/>
    <w:rsid w:val="00FB4CA1"/>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C4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E2C4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E2C46"/>
    <w:rPr>
      <w:rFonts w:ascii="Cambria" w:hAnsi="Cambria" w:cs="Cambria"/>
      <w:b/>
      <w:bCs/>
      <w:sz w:val="26"/>
      <w:szCs w:val="26"/>
    </w:rPr>
  </w:style>
  <w:style w:type="character" w:customStyle="1" w:styleId="Heading4Char">
    <w:name w:val="Heading 4 Char"/>
    <w:basedOn w:val="DefaultParagraphFont"/>
    <w:link w:val="Heading4"/>
    <w:uiPriority w:val="99"/>
    <w:semiHidden/>
    <w:rsid w:val="00DE2C46"/>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DE2C46"/>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DE2C46"/>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9242D1"/>
    <w:rPr>
      <w:rFonts w:ascii="Courier" w:hAnsi="Courier" w:cs="Courier"/>
      <w:sz w:val="24"/>
      <w:szCs w:val="24"/>
    </w:rPr>
  </w:style>
  <w:style w:type="character" w:customStyle="1" w:styleId="BodyText2Char1">
    <w:name w:val="Body Text 2 Char1"/>
    <w:basedOn w:val="DefaultParagraphFont"/>
    <w:link w:val="BodyText2"/>
    <w:uiPriority w:val="99"/>
    <w:semiHidden/>
    <w:rsid w:val="00DE2C46"/>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DE2C46"/>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DE2C46"/>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DE2C46"/>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6</cp:revision>
  <cp:lastPrinted>2017-03-10T19:27:00Z</cp:lastPrinted>
  <dcterms:created xsi:type="dcterms:W3CDTF">2017-03-10T19:08:00Z</dcterms:created>
  <dcterms:modified xsi:type="dcterms:W3CDTF">2017-03-10T19:27:00Z</dcterms:modified>
</cp:coreProperties>
</file>